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0C" w:rsidRDefault="00F76E0C" w:rsidP="00F76E0C">
      <w:pPr>
        <w:rPr>
          <w:sz w:val="28"/>
        </w:rPr>
      </w:pPr>
      <w:r>
        <w:t xml:space="preserve">                           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 wp14:anchorId="69DCD335" wp14:editId="579F8BB8">
            <wp:extent cx="466725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618">
        <w:rPr>
          <w:sz w:val="28"/>
        </w:rPr>
        <w:t xml:space="preserve">     </w:t>
      </w:r>
    </w:p>
    <w:p w:rsidR="00F76E0C" w:rsidRPr="0037486D" w:rsidRDefault="00F76E0C" w:rsidP="00F76E0C">
      <w:pPr>
        <w:rPr>
          <w:sz w:val="28"/>
          <w:szCs w:val="28"/>
          <w:highlight w:val="yellow"/>
        </w:rPr>
      </w:pPr>
      <w:r w:rsidRPr="000E5618">
        <w:rPr>
          <w:sz w:val="28"/>
        </w:rPr>
        <w:t xml:space="preserve">                              </w:t>
      </w:r>
    </w:p>
    <w:p w:rsidR="00F76E0C" w:rsidRPr="00BF300A" w:rsidRDefault="00F76E0C" w:rsidP="00F76E0C">
      <w:pPr>
        <w:pStyle w:val="af0"/>
        <w:jc w:val="center"/>
        <w:rPr>
          <w:b/>
          <w:sz w:val="28"/>
          <w:szCs w:val="28"/>
        </w:rPr>
      </w:pPr>
      <w:r w:rsidRPr="00BF300A">
        <w:rPr>
          <w:b/>
          <w:sz w:val="28"/>
          <w:szCs w:val="28"/>
        </w:rPr>
        <w:t>СОВЕТ ОКТЯБРЬСКОГО СЕЛЬСКОГО ПОСЕЛЕНИЯ</w:t>
      </w:r>
    </w:p>
    <w:p w:rsidR="00F76E0C" w:rsidRPr="00BF300A" w:rsidRDefault="00F76E0C" w:rsidP="00F76E0C">
      <w:pPr>
        <w:pStyle w:val="af0"/>
        <w:jc w:val="center"/>
        <w:rPr>
          <w:b/>
          <w:sz w:val="28"/>
          <w:szCs w:val="28"/>
        </w:rPr>
      </w:pPr>
    </w:p>
    <w:p w:rsidR="00F76E0C" w:rsidRDefault="00F76E0C" w:rsidP="00F76E0C">
      <w:pPr>
        <w:pStyle w:val="af0"/>
        <w:jc w:val="center"/>
        <w:rPr>
          <w:b/>
          <w:sz w:val="28"/>
          <w:szCs w:val="28"/>
        </w:rPr>
      </w:pPr>
      <w:r w:rsidRPr="00BF300A">
        <w:rPr>
          <w:b/>
          <w:sz w:val="28"/>
          <w:szCs w:val="28"/>
        </w:rPr>
        <w:t>ТУАПСИНСКОГО РАЙОНА</w:t>
      </w:r>
    </w:p>
    <w:p w:rsidR="00F76E0C" w:rsidRDefault="00F76E0C" w:rsidP="00F76E0C">
      <w:pPr>
        <w:pStyle w:val="af0"/>
        <w:jc w:val="center"/>
        <w:rPr>
          <w:b/>
          <w:sz w:val="28"/>
          <w:szCs w:val="28"/>
        </w:rPr>
      </w:pPr>
    </w:p>
    <w:p w:rsidR="000869C7" w:rsidRPr="000869C7" w:rsidRDefault="00F76E0C" w:rsidP="000869C7">
      <w:pPr>
        <w:pStyle w:val="a3"/>
        <w:jc w:val="center"/>
        <w:rPr>
          <w:rFonts w:ascii="Times New Roman" w:hAnsi="Times New Roman"/>
          <w:color w:val="000000"/>
          <w:sz w:val="32"/>
          <w:szCs w:val="32"/>
        </w:rPr>
      </w:pPr>
      <w:r w:rsidRPr="00454545">
        <w:rPr>
          <w:rFonts w:ascii="Times New Roman" w:hAnsi="Times New Roman"/>
          <w:bCs/>
          <w:sz w:val="32"/>
          <w:szCs w:val="32"/>
        </w:rPr>
        <w:t>СЕССИЯ</w:t>
      </w:r>
      <w:r w:rsidRPr="00454545">
        <w:rPr>
          <w:rFonts w:ascii="Times New Roman" w:hAnsi="Times New Roman"/>
          <w:sz w:val="32"/>
          <w:szCs w:val="32"/>
        </w:rPr>
        <w:t xml:space="preserve"> </w:t>
      </w:r>
      <w:r w:rsidR="000869C7" w:rsidRPr="00454545">
        <w:rPr>
          <w:rFonts w:ascii="Times New Roman" w:hAnsi="Times New Roman"/>
          <w:sz w:val="32"/>
          <w:szCs w:val="32"/>
          <w:lang w:val="en-US"/>
        </w:rPr>
        <w:t>L</w:t>
      </w:r>
      <w:r w:rsidR="00454545" w:rsidRPr="00454545">
        <w:rPr>
          <w:rFonts w:ascii="Times New Roman" w:hAnsi="Times New Roman"/>
          <w:sz w:val="32"/>
          <w:szCs w:val="32"/>
          <w:lang w:val="en-US"/>
        </w:rPr>
        <w:t>X</w:t>
      </w:r>
      <w:r w:rsidR="00956C55" w:rsidRPr="00454545">
        <w:rPr>
          <w:rFonts w:ascii="Times New Roman" w:hAnsi="Times New Roman"/>
          <w:sz w:val="32"/>
          <w:szCs w:val="32"/>
          <w:lang w:val="en-US"/>
        </w:rPr>
        <w:t>I</w:t>
      </w:r>
      <w:r w:rsidR="004270D5">
        <w:rPr>
          <w:rFonts w:ascii="Times New Roman" w:hAnsi="Times New Roman"/>
          <w:sz w:val="32"/>
          <w:szCs w:val="32"/>
          <w:lang w:val="en-US"/>
        </w:rPr>
        <w:t>I</w:t>
      </w:r>
    </w:p>
    <w:p w:rsidR="00F76E0C" w:rsidRDefault="00F76E0C" w:rsidP="00F76E0C">
      <w:pPr>
        <w:pStyle w:val="af0"/>
        <w:jc w:val="center"/>
      </w:pPr>
    </w:p>
    <w:p w:rsidR="00F76E0C" w:rsidRPr="00BF300A" w:rsidRDefault="00F76E0C" w:rsidP="00F76E0C">
      <w:pPr>
        <w:pStyle w:val="af0"/>
        <w:jc w:val="center"/>
        <w:rPr>
          <w:b/>
          <w:sz w:val="32"/>
          <w:szCs w:val="32"/>
        </w:rPr>
      </w:pPr>
      <w:proofErr w:type="gramStart"/>
      <w:r w:rsidRPr="00BF300A">
        <w:rPr>
          <w:b/>
          <w:sz w:val="32"/>
          <w:szCs w:val="32"/>
        </w:rPr>
        <w:t>Р</w:t>
      </w:r>
      <w:proofErr w:type="gramEnd"/>
      <w:r w:rsidRPr="00BF300A">
        <w:rPr>
          <w:b/>
          <w:sz w:val="32"/>
          <w:szCs w:val="32"/>
        </w:rPr>
        <w:t xml:space="preserve"> Е Ш Е Н И Е</w:t>
      </w:r>
    </w:p>
    <w:p w:rsidR="00F76E0C" w:rsidRPr="004270D5" w:rsidRDefault="00F76E0C" w:rsidP="00F76E0C">
      <w:pPr>
        <w:pStyle w:val="3"/>
        <w:rPr>
          <w:rFonts w:ascii="Times New Roman" w:hAnsi="Times New Roman" w:cs="Times New Roman"/>
          <w:b w:val="0"/>
          <w:color w:val="auto"/>
          <w:sz w:val="28"/>
          <w:u w:val="single"/>
        </w:rPr>
      </w:pPr>
      <w:r w:rsidRPr="00727ABB">
        <w:rPr>
          <w:rFonts w:ascii="Times New Roman" w:hAnsi="Times New Roman" w:cs="Times New Roman"/>
          <w:b w:val="0"/>
          <w:color w:val="auto"/>
          <w:sz w:val="28"/>
        </w:rPr>
        <w:t xml:space="preserve">от  </w:t>
      </w:r>
      <w:r w:rsidR="00956C55" w:rsidRPr="00727ABB">
        <w:rPr>
          <w:rFonts w:ascii="Times New Roman" w:hAnsi="Times New Roman" w:cs="Times New Roman"/>
          <w:b w:val="0"/>
          <w:color w:val="auto"/>
          <w:sz w:val="28"/>
        </w:rPr>
        <w:t>14</w:t>
      </w:r>
      <w:r w:rsidR="000869C7" w:rsidRPr="00727ABB">
        <w:rPr>
          <w:rFonts w:ascii="Times New Roman" w:hAnsi="Times New Roman" w:cs="Times New Roman"/>
          <w:b w:val="0"/>
          <w:color w:val="auto"/>
          <w:sz w:val="28"/>
        </w:rPr>
        <w:t>.</w:t>
      </w:r>
      <w:r w:rsidR="00B73822" w:rsidRPr="00727ABB">
        <w:rPr>
          <w:rFonts w:ascii="Times New Roman" w:hAnsi="Times New Roman" w:cs="Times New Roman"/>
          <w:b w:val="0"/>
          <w:color w:val="auto"/>
          <w:sz w:val="28"/>
        </w:rPr>
        <w:t>02</w:t>
      </w:r>
      <w:r w:rsidR="000869C7" w:rsidRPr="00727ABB">
        <w:rPr>
          <w:rFonts w:ascii="Times New Roman" w:hAnsi="Times New Roman" w:cs="Times New Roman"/>
          <w:b w:val="0"/>
          <w:color w:val="auto"/>
          <w:sz w:val="28"/>
        </w:rPr>
        <w:t>.</w:t>
      </w:r>
      <w:r w:rsidR="006A699B" w:rsidRPr="00727ABB">
        <w:rPr>
          <w:rFonts w:ascii="Times New Roman" w:hAnsi="Times New Roman" w:cs="Times New Roman"/>
          <w:b w:val="0"/>
          <w:color w:val="auto"/>
          <w:sz w:val="28"/>
        </w:rPr>
        <w:t>201</w:t>
      </w:r>
      <w:r w:rsidR="00B73822" w:rsidRPr="00727ABB">
        <w:rPr>
          <w:rFonts w:ascii="Times New Roman" w:hAnsi="Times New Roman" w:cs="Times New Roman"/>
          <w:b w:val="0"/>
          <w:color w:val="auto"/>
          <w:sz w:val="28"/>
        </w:rPr>
        <w:t>9</w:t>
      </w:r>
      <w:r w:rsidR="000869C7" w:rsidRPr="00727ABB">
        <w:rPr>
          <w:rFonts w:ascii="Times New Roman" w:hAnsi="Times New Roman" w:cs="Times New Roman"/>
          <w:b w:val="0"/>
          <w:color w:val="auto"/>
          <w:sz w:val="28"/>
        </w:rPr>
        <w:t xml:space="preserve">       </w:t>
      </w:r>
      <w:r w:rsidR="006A699B" w:rsidRPr="00727ABB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</w:t>
      </w:r>
      <w:r w:rsidR="000869C7" w:rsidRPr="00727ABB">
        <w:rPr>
          <w:rFonts w:ascii="Times New Roman" w:hAnsi="Times New Roman" w:cs="Times New Roman"/>
          <w:b w:val="0"/>
          <w:color w:val="auto"/>
          <w:sz w:val="28"/>
        </w:rPr>
        <w:t xml:space="preserve">      </w:t>
      </w:r>
      <w:r w:rsidR="00870B5A" w:rsidRPr="00727ABB">
        <w:rPr>
          <w:rFonts w:ascii="Times New Roman" w:hAnsi="Times New Roman" w:cs="Times New Roman"/>
          <w:b w:val="0"/>
          <w:color w:val="auto"/>
          <w:sz w:val="28"/>
        </w:rPr>
        <w:t xml:space="preserve">     </w:t>
      </w:r>
      <w:r w:rsidR="006A699B" w:rsidRPr="00727ABB">
        <w:rPr>
          <w:rFonts w:ascii="Times New Roman" w:hAnsi="Times New Roman" w:cs="Times New Roman"/>
          <w:b w:val="0"/>
          <w:color w:val="auto"/>
          <w:sz w:val="28"/>
        </w:rPr>
        <w:t xml:space="preserve">          </w:t>
      </w:r>
      <w:r w:rsidRPr="00727ABB">
        <w:rPr>
          <w:rFonts w:ascii="Times New Roman" w:hAnsi="Times New Roman" w:cs="Times New Roman"/>
          <w:b w:val="0"/>
          <w:color w:val="auto"/>
          <w:sz w:val="28"/>
        </w:rPr>
        <w:t xml:space="preserve">№ </w:t>
      </w:r>
      <w:r w:rsidR="00454545" w:rsidRPr="004270D5">
        <w:rPr>
          <w:rFonts w:ascii="Times New Roman" w:hAnsi="Times New Roman" w:cs="Times New Roman"/>
          <w:b w:val="0"/>
          <w:color w:val="auto"/>
          <w:sz w:val="28"/>
        </w:rPr>
        <w:t>18</w:t>
      </w:r>
      <w:r w:rsidR="005B462F">
        <w:rPr>
          <w:rFonts w:ascii="Times New Roman" w:hAnsi="Times New Roman" w:cs="Times New Roman"/>
          <w:b w:val="0"/>
          <w:color w:val="auto"/>
          <w:sz w:val="28"/>
        </w:rPr>
        <w:t>9</w:t>
      </w:r>
    </w:p>
    <w:p w:rsidR="00F76E0C" w:rsidRDefault="00F76E0C" w:rsidP="00F76E0C">
      <w:pPr>
        <w:widowControl w:val="0"/>
        <w:shd w:val="clear" w:color="auto" w:fill="FFFFFF"/>
        <w:autoSpaceDE w:val="0"/>
        <w:autoSpaceDN w:val="0"/>
        <w:adjustRightInd w:val="0"/>
        <w:ind w:left="6" w:right="11" w:hanging="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</w:t>
      </w:r>
      <w:r w:rsidR="00C260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Октябрьский</w:t>
      </w:r>
    </w:p>
    <w:p w:rsidR="004750E3" w:rsidRDefault="004750E3" w:rsidP="004750E3">
      <w:pPr>
        <w:tabs>
          <w:tab w:val="left" w:pos="255"/>
          <w:tab w:val="left" w:pos="1680"/>
        </w:tabs>
        <w:rPr>
          <w:sz w:val="28"/>
          <w:szCs w:val="28"/>
        </w:rPr>
      </w:pPr>
    </w:p>
    <w:p w:rsidR="000F39D0" w:rsidRPr="0004160B" w:rsidRDefault="000F39D0" w:rsidP="004750E3">
      <w:pPr>
        <w:tabs>
          <w:tab w:val="left" w:pos="255"/>
          <w:tab w:val="left" w:pos="1680"/>
        </w:tabs>
        <w:rPr>
          <w:sz w:val="28"/>
          <w:szCs w:val="28"/>
        </w:rPr>
      </w:pPr>
    </w:p>
    <w:p w:rsidR="007A34B2" w:rsidRPr="0004160B" w:rsidRDefault="00431E2B" w:rsidP="007A5D2E">
      <w:pPr>
        <w:pStyle w:val="a3"/>
        <w:ind w:left="567"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Октябрьского сельского поселения Туапсинского района от 27 октября </w:t>
      </w:r>
      <w:r w:rsidR="007A5D2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2016 года № 96 «</w:t>
      </w:r>
      <w:r w:rsidR="007A34B2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физических лиц на территории </w:t>
      </w:r>
      <w:r w:rsidR="008703CC">
        <w:rPr>
          <w:rFonts w:ascii="Times New Roman" w:hAnsi="Times New Roman"/>
          <w:b/>
          <w:sz w:val="28"/>
          <w:szCs w:val="28"/>
        </w:rPr>
        <w:t xml:space="preserve">Октябрьского сельского </w:t>
      </w:r>
      <w:r w:rsidR="007A34B2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8703CC">
        <w:rPr>
          <w:rFonts w:ascii="Times New Roman" w:hAnsi="Times New Roman"/>
          <w:b/>
          <w:sz w:val="28"/>
          <w:szCs w:val="28"/>
        </w:rPr>
        <w:t xml:space="preserve">Туапсинского </w:t>
      </w:r>
      <w:r w:rsidR="007A34B2">
        <w:rPr>
          <w:rFonts w:ascii="Times New Roman" w:hAnsi="Times New Roman"/>
          <w:b/>
          <w:sz w:val="28"/>
          <w:szCs w:val="28"/>
        </w:rPr>
        <w:t>района</w:t>
      </w:r>
      <w:r w:rsidR="007A5D2E">
        <w:rPr>
          <w:rFonts w:ascii="Times New Roman" w:hAnsi="Times New Roman"/>
          <w:b/>
          <w:sz w:val="28"/>
          <w:szCs w:val="28"/>
        </w:rPr>
        <w:t>»</w:t>
      </w:r>
    </w:p>
    <w:p w:rsidR="004750E3" w:rsidRDefault="004750E3" w:rsidP="004750E3">
      <w:pPr>
        <w:jc w:val="center"/>
        <w:rPr>
          <w:b/>
          <w:sz w:val="28"/>
          <w:szCs w:val="28"/>
        </w:rPr>
      </w:pPr>
    </w:p>
    <w:p w:rsidR="0004160B" w:rsidRDefault="0004160B" w:rsidP="004750E3">
      <w:pPr>
        <w:jc w:val="center"/>
        <w:rPr>
          <w:b/>
          <w:sz w:val="28"/>
          <w:szCs w:val="28"/>
        </w:rPr>
      </w:pPr>
    </w:p>
    <w:p w:rsidR="000F39D0" w:rsidRPr="0004160B" w:rsidRDefault="000F39D0" w:rsidP="004750E3">
      <w:pPr>
        <w:jc w:val="center"/>
        <w:rPr>
          <w:b/>
          <w:sz w:val="28"/>
          <w:szCs w:val="28"/>
        </w:rPr>
      </w:pPr>
    </w:p>
    <w:p w:rsidR="00D805BD" w:rsidRPr="00923182" w:rsidRDefault="00F44235" w:rsidP="00EF59F8">
      <w:pPr>
        <w:pStyle w:val="1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Pr="005225E2">
        <w:rPr>
          <w:szCs w:val="28"/>
        </w:rPr>
        <w:t>соответствии с</w:t>
      </w:r>
      <w:r w:rsidR="005E08F2" w:rsidRPr="005225E2">
        <w:rPr>
          <w:szCs w:val="28"/>
        </w:rPr>
        <w:t xml:space="preserve"> </w:t>
      </w:r>
      <w:r w:rsidR="00F877DF" w:rsidRPr="005225E2">
        <w:rPr>
          <w:szCs w:val="28"/>
        </w:rPr>
        <w:t>Федеральн</w:t>
      </w:r>
      <w:r w:rsidRPr="005225E2">
        <w:rPr>
          <w:szCs w:val="28"/>
        </w:rPr>
        <w:t>ым</w:t>
      </w:r>
      <w:r w:rsidR="00F877DF" w:rsidRPr="005225E2">
        <w:rPr>
          <w:szCs w:val="28"/>
        </w:rPr>
        <w:t xml:space="preserve"> закон</w:t>
      </w:r>
      <w:r w:rsidRPr="005225E2">
        <w:rPr>
          <w:szCs w:val="28"/>
        </w:rPr>
        <w:t>ом</w:t>
      </w:r>
      <w:r w:rsidR="00F877DF" w:rsidRPr="005225E2">
        <w:rPr>
          <w:szCs w:val="28"/>
        </w:rPr>
        <w:t xml:space="preserve"> от 6 октября</w:t>
      </w:r>
      <w:r w:rsidR="00517C4C" w:rsidRPr="005225E2">
        <w:rPr>
          <w:szCs w:val="28"/>
        </w:rPr>
        <w:t xml:space="preserve"> </w:t>
      </w:r>
      <w:r w:rsidR="00F877DF" w:rsidRPr="005225E2">
        <w:rPr>
          <w:szCs w:val="28"/>
        </w:rPr>
        <w:t>2003 года</w:t>
      </w:r>
      <w:r w:rsidR="00A14F57" w:rsidRPr="005225E2">
        <w:rPr>
          <w:szCs w:val="28"/>
        </w:rPr>
        <w:t xml:space="preserve">         </w:t>
      </w:r>
      <w:r w:rsidR="00517C4C" w:rsidRPr="005225E2">
        <w:rPr>
          <w:szCs w:val="28"/>
        </w:rPr>
        <w:t xml:space="preserve"> </w:t>
      </w:r>
      <w:r w:rsidR="00F877DF" w:rsidRPr="005225E2">
        <w:rPr>
          <w:szCs w:val="28"/>
        </w:rPr>
        <w:t>№</w:t>
      </w:r>
      <w:r w:rsidR="00D43AB6" w:rsidRPr="005225E2">
        <w:rPr>
          <w:szCs w:val="28"/>
        </w:rPr>
        <w:t xml:space="preserve"> </w:t>
      </w:r>
      <w:r w:rsidR="00F877DF" w:rsidRPr="005225E2">
        <w:rPr>
          <w:szCs w:val="28"/>
        </w:rPr>
        <w:t>131-ФЗ «Об общих принципах организации местного самоуправления в Российской Федерации</w:t>
      </w:r>
      <w:r w:rsidR="00F877DF" w:rsidRPr="00923182">
        <w:rPr>
          <w:szCs w:val="28"/>
        </w:rPr>
        <w:t>»,</w:t>
      </w:r>
      <w:r w:rsidRPr="00923182">
        <w:rPr>
          <w:szCs w:val="28"/>
        </w:rPr>
        <w:t xml:space="preserve"> </w:t>
      </w:r>
      <w:r w:rsidR="002C48A3">
        <w:rPr>
          <w:szCs w:val="28"/>
        </w:rPr>
        <w:t>главой 32 Налогового</w:t>
      </w:r>
      <w:r w:rsidR="002C48A3" w:rsidRPr="0004160B">
        <w:rPr>
          <w:szCs w:val="28"/>
        </w:rPr>
        <w:t xml:space="preserve"> кодекс</w:t>
      </w:r>
      <w:r w:rsidR="002C48A3">
        <w:rPr>
          <w:szCs w:val="28"/>
        </w:rPr>
        <w:t>а</w:t>
      </w:r>
      <w:r w:rsidR="002C48A3" w:rsidRPr="0004160B">
        <w:rPr>
          <w:szCs w:val="28"/>
        </w:rPr>
        <w:t xml:space="preserve"> Российской Федерации</w:t>
      </w:r>
      <w:r w:rsidR="002C48A3">
        <w:rPr>
          <w:szCs w:val="28"/>
        </w:rPr>
        <w:t xml:space="preserve">, </w:t>
      </w:r>
      <w:r w:rsidR="002C48A3" w:rsidRPr="00545019">
        <w:rPr>
          <w:szCs w:val="28"/>
        </w:rPr>
        <w:t>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</w:t>
      </w:r>
      <w:r w:rsidR="002C48A3">
        <w:rPr>
          <w:szCs w:val="28"/>
        </w:rPr>
        <w:t xml:space="preserve"> </w:t>
      </w:r>
      <w:r w:rsidR="002C48A3" w:rsidRPr="000E0D2D">
        <w:rPr>
          <w:szCs w:val="28"/>
        </w:rPr>
        <w:t>Закон</w:t>
      </w:r>
      <w:r w:rsidR="002C48A3">
        <w:rPr>
          <w:szCs w:val="28"/>
        </w:rPr>
        <w:t xml:space="preserve">ом Краснодарского края от </w:t>
      </w:r>
      <w:r w:rsidR="002C48A3" w:rsidRPr="000E0D2D">
        <w:rPr>
          <w:szCs w:val="28"/>
        </w:rPr>
        <w:t>4</w:t>
      </w:r>
      <w:r w:rsidR="002C48A3">
        <w:rPr>
          <w:szCs w:val="28"/>
        </w:rPr>
        <w:t xml:space="preserve"> апреля </w:t>
      </w:r>
      <w:r w:rsidR="002C48A3" w:rsidRPr="000E0D2D">
        <w:rPr>
          <w:szCs w:val="28"/>
        </w:rPr>
        <w:t>2016</w:t>
      </w:r>
      <w:r w:rsidR="002C48A3">
        <w:rPr>
          <w:szCs w:val="28"/>
        </w:rPr>
        <w:t xml:space="preserve"> года №</w:t>
      </w:r>
      <w:r w:rsidR="002C48A3" w:rsidRPr="000E0D2D">
        <w:rPr>
          <w:szCs w:val="28"/>
        </w:rPr>
        <w:t xml:space="preserve"> 3368-КЗ</w:t>
      </w:r>
      <w:r w:rsidR="002C48A3">
        <w:rPr>
          <w:szCs w:val="28"/>
        </w:rPr>
        <w:t xml:space="preserve"> «</w:t>
      </w:r>
      <w:r w:rsidR="002C48A3" w:rsidRPr="000E0D2D">
        <w:rPr>
          <w:szCs w:val="28"/>
        </w:rPr>
        <w:t>Об</w:t>
      </w:r>
      <w:proofErr w:type="gramEnd"/>
      <w:r w:rsidR="002C48A3" w:rsidRPr="000E0D2D">
        <w:rPr>
          <w:szCs w:val="28"/>
        </w:rPr>
        <w:t xml:space="preserve">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2C48A3">
        <w:rPr>
          <w:szCs w:val="28"/>
        </w:rPr>
        <w:t xml:space="preserve">», Законом Краснодарского края от 22 февраля 2005 года № 836-КЗ «О социальной поддержке многодетных семей в Краснодарском крае»   </w:t>
      </w:r>
      <w:r w:rsidR="00F877DF" w:rsidRPr="00923182">
        <w:rPr>
          <w:szCs w:val="28"/>
        </w:rPr>
        <w:t xml:space="preserve">Совет </w:t>
      </w:r>
      <w:r w:rsidR="002C48A3">
        <w:rPr>
          <w:szCs w:val="28"/>
        </w:rPr>
        <w:t xml:space="preserve">  </w:t>
      </w:r>
      <w:r w:rsidR="00517C4C" w:rsidRPr="00923182">
        <w:rPr>
          <w:szCs w:val="28"/>
        </w:rPr>
        <w:t>Октябрьского</w:t>
      </w:r>
      <w:r w:rsidR="002C48A3">
        <w:rPr>
          <w:szCs w:val="28"/>
        </w:rPr>
        <w:t xml:space="preserve">  </w:t>
      </w:r>
      <w:r w:rsidR="00517C4C" w:rsidRPr="00923182">
        <w:rPr>
          <w:szCs w:val="28"/>
        </w:rPr>
        <w:t xml:space="preserve"> сельского</w:t>
      </w:r>
      <w:r w:rsidR="002C48A3">
        <w:rPr>
          <w:szCs w:val="28"/>
        </w:rPr>
        <w:t xml:space="preserve">  </w:t>
      </w:r>
      <w:r w:rsidR="00517C4C" w:rsidRPr="00923182">
        <w:rPr>
          <w:szCs w:val="28"/>
        </w:rPr>
        <w:t xml:space="preserve"> поселения</w:t>
      </w:r>
      <w:r w:rsidR="002C48A3">
        <w:rPr>
          <w:szCs w:val="28"/>
        </w:rPr>
        <w:t xml:space="preserve">  </w:t>
      </w:r>
      <w:r w:rsidR="00517C4C" w:rsidRPr="00923182">
        <w:rPr>
          <w:szCs w:val="28"/>
        </w:rPr>
        <w:t xml:space="preserve"> Туапсинского района</w:t>
      </w:r>
      <w:r w:rsidR="00F877DF" w:rsidRPr="00923182">
        <w:rPr>
          <w:szCs w:val="28"/>
        </w:rPr>
        <w:t xml:space="preserve"> </w:t>
      </w:r>
      <w:proofErr w:type="gramStart"/>
      <w:r w:rsidR="00F877DF" w:rsidRPr="00923182">
        <w:rPr>
          <w:szCs w:val="28"/>
        </w:rPr>
        <w:t>р</w:t>
      </w:r>
      <w:proofErr w:type="gramEnd"/>
      <w:r w:rsidRPr="00923182">
        <w:rPr>
          <w:szCs w:val="28"/>
        </w:rPr>
        <w:t xml:space="preserve"> </w:t>
      </w:r>
      <w:r w:rsidR="00F877DF" w:rsidRPr="00923182">
        <w:rPr>
          <w:szCs w:val="28"/>
        </w:rPr>
        <w:t>е</w:t>
      </w:r>
      <w:r w:rsidRPr="00923182">
        <w:rPr>
          <w:szCs w:val="28"/>
        </w:rPr>
        <w:t xml:space="preserve"> </w:t>
      </w:r>
      <w:r w:rsidR="00F877DF" w:rsidRPr="00923182">
        <w:rPr>
          <w:szCs w:val="28"/>
        </w:rPr>
        <w:t>ш</w:t>
      </w:r>
      <w:r w:rsidRPr="00923182">
        <w:rPr>
          <w:szCs w:val="28"/>
        </w:rPr>
        <w:t xml:space="preserve"> </w:t>
      </w:r>
      <w:r w:rsidR="00F877DF" w:rsidRPr="00923182">
        <w:rPr>
          <w:szCs w:val="28"/>
        </w:rPr>
        <w:t>и</w:t>
      </w:r>
      <w:r w:rsidRPr="00923182">
        <w:rPr>
          <w:szCs w:val="28"/>
        </w:rPr>
        <w:t xml:space="preserve"> </w:t>
      </w:r>
      <w:r w:rsidR="00F877DF" w:rsidRPr="00923182">
        <w:rPr>
          <w:szCs w:val="28"/>
        </w:rPr>
        <w:t>л:</w:t>
      </w:r>
    </w:p>
    <w:p w:rsidR="00641A65" w:rsidRPr="00C34D21" w:rsidRDefault="00641A65" w:rsidP="00641A65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34D21">
        <w:rPr>
          <w:sz w:val="28"/>
          <w:szCs w:val="28"/>
        </w:rPr>
        <w:t>Внести следующие изменения в решение Совета Октябрьского сельского поселения Туапсинского района от  27 октября 2016 года № 96 «Об установлении налога на имущество физических лиц на территории Октябрьского сельского поселения Туапсинского района»:</w:t>
      </w:r>
    </w:p>
    <w:p w:rsidR="00C34D21" w:rsidRPr="005B7780" w:rsidRDefault="00C34D21" w:rsidP="00C34D21">
      <w:pPr>
        <w:pStyle w:val="a9"/>
        <w:numPr>
          <w:ilvl w:val="1"/>
          <w:numId w:val="10"/>
        </w:numPr>
        <w:jc w:val="both"/>
        <w:rPr>
          <w:color w:val="000000" w:themeColor="text1"/>
          <w:sz w:val="28"/>
          <w:szCs w:val="28"/>
        </w:rPr>
      </w:pPr>
      <w:r w:rsidRPr="005B7780">
        <w:rPr>
          <w:color w:val="000000" w:themeColor="text1"/>
          <w:sz w:val="28"/>
          <w:szCs w:val="28"/>
        </w:rPr>
        <w:t>строку 1 пункта 3 таблицы изложить в следующей редакции:</w:t>
      </w:r>
    </w:p>
    <w:p w:rsidR="00474FB3" w:rsidRPr="005B7780" w:rsidRDefault="00474FB3" w:rsidP="00474FB3">
      <w:pPr>
        <w:ind w:left="709"/>
        <w:jc w:val="both"/>
        <w:rPr>
          <w:color w:val="000000" w:themeColor="text1"/>
          <w:sz w:val="28"/>
          <w:szCs w:val="28"/>
        </w:rPr>
      </w:pPr>
      <w:r w:rsidRPr="005B7780">
        <w:rPr>
          <w:color w:val="000000" w:themeColor="text1"/>
          <w:sz w:val="28"/>
          <w:szCs w:val="28"/>
        </w:rPr>
        <w:t>«</w:t>
      </w:r>
    </w:p>
    <w:tbl>
      <w:tblPr>
        <w:tblpPr w:leftFromText="180" w:rightFromText="180" w:vertAnchor="text" w:horzAnchor="margin" w:tblpY="-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2410"/>
        <w:gridCol w:w="5245"/>
      </w:tblGrid>
      <w:tr w:rsidR="005B7780" w:rsidRPr="005B7780" w:rsidTr="004D075D">
        <w:trPr>
          <w:trHeight w:val="732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  <w:p w:rsidR="00474FB3" w:rsidRPr="005B7780" w:rsidRDefault="00474FB3" w:rsidP="004D075D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  <w:p w:rsidR="00474FB3" w:rsidRPr="005B7780" w:rsidRDefault="00474FB3" w:rsidP="004D075D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ab/>
              <w:t>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3" w:rsidRPr="005B7780" w:rsidRDefault="00474FB3" w:rsidP="004D075D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>Налоговая ставка, %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B3" w:rsidRPr="005B7780" w:rsidRDefault="00474FB3" w:rsidP="004D075D">
            <w:pPr>
              <w:tabs>
                <w:tab w:val="left" w:pos="147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>Кадастровая стоимость, 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3" w:rsidRPr="005B7780" w:rsidRDefault="00474FB3" w:rsidP="004D075D">
            <w:pPr>
              <w:tabs>
                <w:tab w:val="left" w:pos="2018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>Объекты налогообложения</w:t>
            </w:r>
          </w:p>
        </w:tc>
      </w:tr>
      <w:tr w:rsidR="005B7780" w:rsidRPr="005B7780" w:rsidTr="004D075D">
        <w:trPr>
          <w:trHeight w:val="32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tabs>
                <w:tab w:val="left" w:pos="147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3" w:rsidRPr="005B7780" w:rsidRDefault="00474FB3" w:rsidP="004D075D">
            <w:pPr>
              <w:tabs>
                <w:tab w:val="left" w:pos="60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ab/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B3" w:rsidRPr="005B7780" w:rsidRDefault="00474FB3" w:rsidP="004D075D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ab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3" w:rsidRPr="005B7780" w:rsidRDefault="00474FB3" w:rsidP="004D075D">
            <w:pPr>
              <w:tabs>
                <w:tab w:val="left" w:pos="2585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ab/>
              <w:t>3</w:t>
            </w:r>
          </w:p>
        </w:tc>
      </w:tr>
      <w:tr w:rsidR="005B7780" w:rsidRPr="005B7780" w:rsidTr="004D075D">
        <w:trPr>
          <w:trHeight w:val="647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tabs>
                <w:tab w:val="left" w:pos="176"/>
                <w:tab w:val="left" w:pos="343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ab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tabs>
                <w:tab w:val="left" w:pos="459"/>
                <w:tab w:val="left" w:pos="343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ab/>
              <w:t>0,1</w:t>
            </w:r>
          </w:p>
          <w:p w:rsidR="00474FB3" w:rsidRPr="005B7780" w:rsidRDefault="00474FB3" w:rsidP="004D075D">
            <w:pPr>
              <w:tabs>
                <w:tab w:val="left" w:pos="459"/>
                <w:tab w:val="left" w:pos="343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B3" w:rsidRPr="005B7780" w:rsidRDefault="00474FB3" w:rsidP="004D075D">
            <w:p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>От 0 рублей до 5 000 000 рублей (включительно)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>1. Жилые дома, части жилого дома; квартиры, части квартир; комнаты.</w:t>
            </w:r>
          </w:p>
          <w:p w:rsidR="00474FB3" w:rsidRPr="005B7780" w:rsidRDefault="00474FB3" w:rsidP="004D07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 xml:space="preserve">2. Единые недвижимые комплексы, в состав которых входит хотя бы одно жилое </w:t>
            </w:r>
            <w:r w:rsidR="00B73822" w:rsidRPr="005B7780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5B7780">
              <w:rPr>
                <w:rFonts w:eastAsia="Calibri"/>
                <w:color w:val="000000" w:themeColor="text1"/>
                <w:lang w:eastAsia="en-US"/>
              </w:rPr>
              <w:t>помещение (квартира, комната, жилой дом).</w:t>
            </w:r>
          </w:p>
          <w:p w:rsidR="00474FB3" w:rsidRPr="005B7780" w:rsidRDefault="00474FB3" w:rsidP="004D07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</w:t>
            </w:r>
            <w:bookmarkStart w:id="0" w:name="_GoBack"/>
            <w:bookmarkEnd w:id="0"/>
            <w:r w:rsidRPr="005B7780">
              <w:rPr>
                <w:rFonts w:eastAsia="Calibri"/>
                <w:color w:val="000000" w:themeColor="text1"/>
                <w:lang w:eastAsia="en-US"/>
              </w:rPr>
              <w:t>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</w:tr>
      <w:tr w:rsidR="005B7780" w:rsidRPr="005B7780" w:rsidTr="004D075D">
        <w:trPr>
          <w:trHeight w:val="5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74FB3" w:rsidRPr="005B7780" w:rsidRDefault="00474FB3" w:rsidP="004D075D">
            <w:p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ab/>
              <w:t>0,15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4FB3" w:rsidRPr="005B7780" w:rsidRDefault="00474FB3" w:rsidP="004D075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>Свыше 5 000 000 рублей до 10 000 000 рублей (включительно)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B7780" w:rsidRPr="005B7780" w:rsidTr="004D075D">
        <w:trPr>
          <w:trHeight w:val="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74FB3" w:rsidRPr="005B7780" w:rsidRDefault="00474FB3" w:rsidP="004D075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B3" w:rsidRPr="005B7780" w:rsidRDefault="00474FB3" w:rsidP="004D075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B7780" w:rsidRPr="005B7780" w:rsidTr="004D075D">
        <w:trPr>
          <w:trHeight w:val="1016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ab/>
              <w:t>0,2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B3" w:rsidRPr="005B7780" w:rsidRDefault="00474FB3" w:rsidP="004D075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5B7780">
              <w:rPr>
                <w:rFonts w:eastAsia="Calibri"/>
                <w:color w:val="000000" w:themeColor="text1"/>
                <w:lang w:eastAsia="en-US"/>
              </w:rPr>
              <w:t>Свыше 10 000 000 рублей до 300 000 000 рублей (включительно)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B3" w:rsidRPr="005B7780" w:rsidRDefault="00474FB3" w:rsidP="004D07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A37305" w:rsidRPr="005B7780" w:rsidRDefault="00A37305" w:rsidP="00A37305">
      <w:pPr>
        <w:pStyle w:val="a9"/>
        <w:tabs>
          <w:tab w:val="left" w:pos="851"/>
        </w:tabs>
        <w:ind w:left="567"/>
        <w:jc w:val="right"/>
        <w:rPr>
          <w:color w:val="000000" w:themeColor="text1"/>
          <w:sz w:val="28"/>
          <w:szCs w:val="28"/>
        </w:rPr>
      </w:pPr>
      <w:r w:rsidRPr="005B7780">
        <w:rPr>
          <w:color w:val="000000" w:themeColor="text1"/>
          <w:sz w:val="28"/>
          <w:szCs w:val="28"/>
        </w:rPr>
        <w:t>.»</w:t>
      </w:r>
    </w:p>
    <w:p w:rsidR="00171465" w:rsidRPr="005B7780" w:rsidRDefault="00171465" w:rsidP="00171465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B7780">
        <w:rPr>
          <w:color w:val="000000" w:themeColor="text1"/>
          <w:sz w:val="28"/>
          <w:szCs w:val="28"/>
        </w:rPr>
        <w:t xml:space="preserve"> Опубликовать настоящее решение в газете «Черноморье сегодня» и разместить на официальном сайте Совета Октябрьского сельского поселения Туапсинского района в информационно-телекоммуникационной сети «Интернет».</w:t>
      </w:r>
    </w:p>
    <w:p w:rsidR="006A4F0D" w:rsidRPr="005B7780" w:rsidRDefault="004A4C9D" w:rsidP="00171465">
      <w:pPr>
        <w:pStyle w:val="aa"/>
        <w:tabs>
          <w:tab w:val="left" w:pos="851"/>
        </w:tabs>
        <w:spacing w:before="0" w:beforeAutospacing="0" w:after="0"/>
        <w:ind w:firstLine="567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5B7780">
        <w:rPr>
          <w:color w:val="000000" w:themeColor="text1"/>
          <w:sz w:val="28"/>
          <w:szCs w:val="28"/>
        </w:rPr>
        <w:t>3</w:t>
      </w:r>
      <w:r w:rsidR="006A4F0D" w:rsidRPr="005B7780">
        <w:rPr>
          <w:color w:val="000000" w:themeColor="text1"/>
          <w:sz w:val="28"/>
          <w:szCs w:val="28"/>
        </w:rPr>
        <w:t>. Копию настоящего решения направить в Межрайонную инспекцию Федеральной налоговой службы России № 6 по Краснодарскому краю для руководства в работе.</w:t>
      </w:r>
    </w:p>
    <w:p w:rsidR="008C581E" w:rsidRPr="005B7780" w:rsidRDefault="00523754" w:rsidP="00354366">
      <w:pPr>
        <w:keepNext/>
        <w:widowControl w:val="0"/>
        <w:tabs>
          <w:tab w:val="left" w:pos="900"/>
        </w:tabs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5B7780">
        <w:rPr>
          <w:color w:val="000000" w:themeColor="text1"/>
          <w:sz w:val="28"/>
          <w:szCs w:val="28"/>
        </w:rPr>
        <w:t>4</w:t>
      </w:r>
      <w:r w:rsidR="00E1434E" w:rsidRPr="005B7780">
        <w:rPr>
          <w:color w:val="000000" w:themeColor="text1"/>
          <w:sz w:val="28"/>
          <w:szCs w:val="28"/>
        </w:rPr>
        <w:t xml:space="preserve">. </w:t>
      </w:r>
      <w:proofErr w:type="gramStart"/>
      <w:r w:rsidR="00E1434E" w:rsidRPr="005B7780">
        <w:rPr>
          <w:color w:val="000000" w:themeColor="text1"/>
          <w:sz w:val="28"/>
          <w:szCs w:val="28"/>
        </w:rPr>
        <w:t>К</w:t>
      </w:r>
      <w:r w:rsidR="00E57F1D" w:rsidRPr="005B7780">
        <w:rPr>
          <w:color w:val="000000" w:themeColor="text1"/>
          <w:sz w:val="28"/>
          <w:szCs w:val="28"/>
        </w:rPr>
        <w:t>онтроль за</w:t>
      </w:r>
      <w:proofErr w:type="gramEnd"/>
      <w:r w:rsidR="00E57F1D" w:rsidRPr="005B7780">
        <w:rPr>
          <w:color w:val="000000" w:themeColor="text1"/>
          <w:sz w:val="28"/>
          <w:szCs w:val="28"/>
        </w:rPr>
        <w:t xml:space="preserve"> </w:t>
      </w:r>
      <w:r w:rsidR="00CE333F" w:rsidRPr="005B7780">
        <w:rPr>
          <w:color w:val="000000" w:themeColor="text1"/>
          <w:sz w:val="28"/>
          <w:szCs w:val="28"/>
        </w:rPr>
        <w:t>выполнением</w:t>
      </w:r>
      <w:r w:rsidR="00E57F1D" w:rsidRPr="005B7780">
        <w:rPr>
          <w:color w:val="000000" w:themeColor="text1"/>
          <w:sz w:val="28"/>
          <w:szCs w:val="28"/>
        </w:rPr>
        <w:t xml:space="preserve"> данного р</w:t>
      </w:r>
      <w:r w:rsidR="00E1434E" w:rsidRPr="005B7780">
        <w:rPr>
          <w:color w:val="000000" w:themeColor="text1"/>
          <w:sz w:val="28"/>
          <w:szCs w:val="28"/>
        </w:rPr>
        <w:t xml:space="preserve">ешения возложить на </w:t>
      </w:r>
      <w:r w:rsidR="007249CC" w:rsidRPr="005B7780">
        <w:rPr>
          <w:color w:val="000000" w:themeColor="text1"/>
          <w:sz w:val="28"/>
          <w:szCs w:val="28"/>
          <w:lang w:eastAsia="en-US"/>
        </w:rPr>
        <w:t>депутатскую комиссию по социально-экономической политике, вопросам бюджета, налогов, малого и среднего бизнеса, предпринимательства и развития туризма.</w:t>
      </w:r>
    </w:p>
    <w:p w:rsidR="00082522" w:rsidRPr="005B7780" w:rsidRDefault="008C581E" w:rsidP="00082522">
      <w:pPr>
        <w:ind w:firstLine="567"/>
        <w:jc w:val="both"/>
        <w:rPr>
          <w:color w:val="000000" w:themeColor="text1"/>
          <w:sz w:val="28"/>
          <w:szCs w:val="28"/>
        </w:rPr>
      </w:pPr>
      <w:r w:rsidRPr="005B7780">
        <w:rPr>
          <w:color w:val="000000" w:themeColor="text1"/>
          <w:sz w:val="28"/>
          <w:szCs w:val="28"/>
        </w:rPr>
        <w:t xml:space="preserve">5. </w:t>
      </w:r>
      <w:r w:rsidR="00082522" w:rsidRPr="005B7780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2017 года до 31 декабря 2017 года.</w:t>
      </w:r>
    </w:p>
    <w:p w:rsidR="008C581E" w:rsidRPr="005B7780" w:rsidRDefault="008C581E" w:rsidP="008C581E">
      <w:pPr>
        <w:jc w:val="both"/>
        <w:rPr>
          <w:iCs/>
          <w:color w:val="000000" w:themeColor="text1"/>
          <w:sz w:val="28"/>
          <w:szCs w:val="28"/>
        </w:rPr>
      </w:pPr>
    </w:p>
    <w:p w:rsidR="00354366" w:rsidRPr="00923182" w:rsidRDefault="00354366" w:rsidP="0004160B">
      <w:pPr>
        <w:jc w:val="both"/>
        <w:rPr>
          <w:iCs/>
          <w:sz w:val="28"/>
          <w:szCs w:val="28"/>
        </w:rPr>
      </w:pPr>
    </w:p>
    <w:p w:rsidR="00331CA3" w:rsidRPr="00923182" w:rsidRDefault="00331CA3" w:rsidP="0004160B">
      <w:pPr>
        <w:jc w:val="both"/>
        <w:rPr>
          <w:iCs/>
          <w:sz w:val="28"/>
          <w:szCs w:val="28"/>
        </w:rPr>
      </w:pPr>
    </w:p>
    <w:p w:rsidR="009B599F" w:rsidRDefault="007443BA" w:rsidP="00311E9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A367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C6E62" w:rsidRDefault="002E51C6" w:rsidP="00311E9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сельского </w:t>
      </w:r>
      <w:r w:rsidR="009B599F">
        <w:rPr>
          <w:sz w:val="28"/>
          <w:szCs w:val="28"/>
        </w:rPr>
        <w:t xml:space="preserve"> поселения </w:t>
      </w:r>
    </w:p>
    <w:p w:rsidR="00813EF6" w:rsidRDefault="002E51C6" w:rsidP="00311E9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Туапсинского</w:t>
      </w:r>
      <w:r w:rsidR="009B599F">
        <w:rPr>
          <w:sz w:val="28"/>
          <w:szCs w:val="28"/>
        </w:rPr>
        <w:t xml:space="preserve"> района                                               </w:t>
      </w:r>
      <w:r w:rsidR="00E20B32">
        <w:rPr>
          <w:sz w:val="28"/>
          <w:szCs w:val="28"/>
        </w:rPr>
        <w:t xml:space="preserve">  </w:t>
      </w:r>
      <w:r w:rsidR="005475CC">
        <w:rPr>
          <w:sz w:val="28"/>
          <w:szCs w:val="28"/>
        </w:rPr>
        <w:t xml:space="preserve">    </w:t>
      </w:r>
      <w:r w:rsidR="00E20B3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7443BA">
        <w:rPr>
          <w:sz w:val="28"/>
          <w:szCs w:val="28"/>
        </w:rPr>
        <w:t xml:space="preserve">     Н.С. Сычева</w:t>
      </w:r>
    </w:p>
    <w:sectPr w:rsidR="00813EF6" w:rsidSect="00145E38">
      <w:headerReference w:type="default" r:id="rId10"/>
      <w:pgSz w:w="11906" w:h="16838"/>
      <w:pgMar w:top="1134" w:right="991" w:bottom="1134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52" w:rsidRDefault="003B1752" w:rsidP="00D94512">
      <w:r>
        <w:separator/>
      </w:r>
    </w:p>
  </w:endnote>
  <w:endnote w:type="continuationSeparator" w:id="0">
    <w:p w:rsidR="003B1752" w:rsidRDefault="003B1752" w:rsidP="00D9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52" w:rsidRDefault="003B1752" w:rsidP="00D94512">
      <w:r>
        <w:separator/>
      </w:r>
    </w:p>
  </w:footnote>
  <w:footnote w:type="continuationSeparator" w:id="0">
    <w:p w:rsidR="003B1752" w:rsidRDefault="003B1752" w:rsidP="00D9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14628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214AD" w:rsidRPr="0083030D" w:rsidRDefault="008214AD">
        <w:pPr>
          <w:pStyle w:val="ac"/>
          <w:jc w:val="center"/>
          <w:rPr>
            <w:sz w:val="28"/>
          </w:rPr>
        </w:pPr>
        <w:r w:rsidRPr="0083030D">
          <w:rPr>
            <w:sz w:val="28"/>
          </w:rPr>
          <w:fldChar w:fldCharType="begin"/>
        </w:r>
        <w:r w:rsidRPr="0083030D">
          <w:rPr>
            <w:sz w:val="28"/>
          </w:rPr>
          <w:instrText>PAGE   \* MERGEFORMAT</w:instrText>
        </w:r>
        <w:r w:rsidRPr="0083030D">
          <w:rPr>
            <w:sz w:val="28"/>
          </w:rPr>
          <w:fldChar w:fldCharType="separate"/>
        </w:r>
        <w:r w:rsidR="005B7780">
          <w:rPr>
            <w:noProof/>
            <w:sz w:val="28"/>
          </w:rPr>
          <w:t>2</w:t>
        </w:r>
        <w:r w:rsidRPr="0083030D">
          <w:rPr>
            <w:sz w:val="28"/>
          </w:rPr>
          <w:fldChar w:fldCharType="end"/>
        </w:r>
      </w:p>
    </w:sdtContent>
  </w:sdt>
  <w:p w:rsidR="001F7A3F" w:rsidRPr="0083030D" w:rsidRDefault="001F7A3F" w:rsidP="001F7A3F">
    <w:pPr>
      <w:pStyle w:val="ac"/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ACE"/>
    <w:multiLevelType w:val="hybridMultilevel"/>
    <w:tmpl w:val="38160444"/>
    <w:lvl w:ilvl="0" w:tplc="66FC5DD6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91E43"/>
    <w:multiLevelType w:val="singleLevel"/>
    <w:tmpl w:val="FDD2E93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4141E0D"/>
    <w:multiLevelType w:val="hybridMultilevel"/>
    <w:tmpl w:val="062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13D9C"/>
    <w:multiLevelType w:val="multilevel"/>
    <w:tmpl w:val="47D4F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4257A3F"/>
    <w:multiLevelType w:val="hybridMultilevel"/>
    <w:tmpl w:val="0B16CED4"/>
    <w:lvl w:ilvl="0" w:tplc="D7486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E91BA4"/>
    <w:multiLevelType w:val="hybridMultilevel"/>
    <w:tmpl w:val="3140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C5427"/>
    <w:multiLevelType w:val="hybridMultilevel"/>
    <w:tmpl w:val="18B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3B6D"/>
    <w:multiLevelType w:val="hybridMultilevel"/>
    <w:tmpl w:val="5DE8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67D2"/>
    <w:multiLevelType w:val="hybridMultilevel"/>
    <w:tmpl w:val="E5EAD296"/>
    <w:lvl w:ilvl="0" w:tplc="DD4E88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E6F02A9"/>
    <w:multiLevelType w:val="hybridMultilevel"/>
    <w:tmpl w:val="E988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CC3"/>
    <w:rsid w:val="000002C8"/>
    <w:rsid w:val="00017E4A"/>
    <w:rsid w:val="00025F84"/>
    <w:rsid w:val="00032148"/>
    <w:rsid w:val="0004160B"/>
    <w:rsid w:val="00042944"/>
    <w:rsid w:val="00055D43"/>
    <w:rsid w:val="0006091B"/>
    <w:rsid w:val="00060CF9"/>
    <w:rsid w:val="00064352"/>
    <w:rsid w:val="0007270D"/>
    <w:rsid w:val="00073992"/>
    <w:rsid w:val="00075F8D"/>
    <w:rsid w:val="00082522"/>
    <w:rsid w:val="000869C7"/>
    <w:rsid w:val="00096C39"/>
    <w:rsid w:val="000A0060"/>
    <w:rsid w:val="000A56F1"/>
    <w:rsid w:val="000B1A09"/>
    <w:rsid w:val="000B3748"/>
    <w:rsid w:val="000B3D8B"/>
    <w:rsid w:val="000B7681"/>
    <w:rsid w:val="000C2712"/>
    <w:rsid w:val="000C3798"/>
    <w:rsid w:val="000C783C"/>
    <w:rsid w:val="000E0D2D"/>
    <w:rsid w:val="000E1893"/>
    <w:rsid w:val="000E21DE"/>
    <w:rsid w:val="000F35DB"/>
    <w:rsid w:val="000F39D0"/>
    <w:rsid w:val="000F4175"/>
    <w:rsid w:val="000F6BB4"/>
    <w:rsid w:val="000F6E36"/>
    <w:rsid w:val="000F6FBF"/>
    <w:rsid w:val="00103A08"/>
    <w:rsid w:val="00106325"/>
    <w:rsid w:val="0011135D"/>
    <w:rsid w:val="0012667A"/>
    <w:rsid w:val="00126BF8"/>
    <w:rsid w:val="001313B5"/>
    <w:rsid w:val="0013370A"/>
    <w:rsid w:val="00141E43"/>
    <w:rsid w:val="001427E2"/>
    <w:rsid w:val="0014394E"/>
    <w:rsid w:val="00145E38"/>
    <w:rsid w:val="0016327C"/>
    <w:rsid w:val="001632AF"/>
    <w:rsid w:val="00163899"/>
    <w:rsid w:val="0016488B"/>
    <w:rsid w:val="0016528D"/>
    <w:rsid w:val="001711C6"/>
    <w:rsid w:val="00171465"/>
    <w:rsid w:val="001951B9"/>
    <w:rsid w:val="001A19AA"/>
    <w:rsid w:val="001A7B72"/>
    <w:rsid w:val="001B727D"/>
    <w:rsid w:val="001C5582"/>
    <w:rsid w:val="001D3E80"/>
    <w:rsid w:val="001D4E5C"/>
    <w:rsid w:val="001E5265"/>
    <w:rsid w:val="001F5DA9"/>
    <w:rsid w:val="001F7A3F"/>
    <w:rsid w:val="00202F61"/>
    <w:rsid w:val="00203147"/>
    <w:rsid w:val="002073FA"/>
    <w:rsid w:val="00222B76"/>
    <w:rsid w:val="00223877"/>
    <w:rsid w:val="00223FAD"/>
    <w:rsid w:val="0023290B"/>
    <w:rsid w:val="00234DE0"/>
    <w:rsid w:val="00245E47"/>
    <w:rsid w:val="002550F5"/>
    <w:rsid w:val="00257569"/>
    <w:rsid w:val="00260815"/>
    <w:rsid w:val="00264EF0"/>
    <w:rsid w:val="002667FB"/>
    <w:rsid w:val="00270F06"/>
    <w:rsid w:val="00272AC6"/>
    <w:rsid w:val="00272E17"/>
    <w:rsid w:val="00285C75"/>
    <w:rsid w:val="00290423"/>
    <w:rsid w:val="00292D8F"/>
    <w:rsid w:val="002A1F1A"/>
    <w:rsid w:val="002A228D"/>
    <w:rsid w:val="002A70A6"/>
    <w:rsid w:val="002A70E8"/>
    <w:rsid w:val="002B2531"/>
    <w:rsid w:val="002B4C03"/>
    <w:rsid w:val="002B765B"/>
    <w:rsid w:val="002C48A3"/>
    <w:rsid w:val="002D4833"/>
    <w:rsid w:val="002E1F3D"/>
    <w:rsid w:val="002E51C6"/>
    <w:rsid w:val="002E5CC3"/>
    <w:rsid w:val="002E72BB"/>
    <w:rsid w:val="002F1894"/>
    <w:rsid w:val="002F37ED"/>
    <w:rsid w:val="00307F66"/>
    <w:rsid w:val="00311E92"/>
    <w:rsid w:val="00311FB1"/>
    <w:rsid w:val="00315FDE"/>
    <w:rsid w:val="003220BC"/>
    <w:rsid w:val="00324E18"/>
    <w:rsid w:val="00325E23"/>
    <w:rsid w:val="00331CA3"/>
    <w:rsid w:val="003458E8"/>
    <w:rsid w:val="00347CC9"/>
    <w:rsid w:val="0035394C"/>
    <w:rsid w:val="00353BFB"/>
    <w:rsid w:val="00354366"/>
    <w:rsid w:val="00360072"/>
    <w:rsid w:val="00370C41"/>
    <w:rsid w:val="00377667"/>
    <w:rsid w:val="00380EA7"/>
    <w:rsid w:val="00386CA6"/>
    <w:rsid w:val="00396AB3"/>
    <w:rsid w:val="003A7831"/>
    <w:rsid w:val="003B1661"/>
    <w:rsid w:val="003B1752"/>
    <w:rsid w:val="003B54E6"/>
    <w:rsid w:val="003D7142"/>
    <w:rsid w:val="003E78FF"/>
    <w:rsid w:val="003F52DA"/>
    <w:rsid w:val="00401BF5"/>
    <w:rsid w:val="00402E23"/>
    <w:rsid w:val="004204F3"/>
    <w:rsid w:val="00422239"/>
    <w:rsid w:val="004270D5"/>
    <w:rsid w:val="00431E2B"/>
    <w:rsid w:val="00433BAB"/>
    <w:rsid w:val="00436B59"/>
    <w:rsid w:val="00437452"/>
    <w:rsid w:val="00440558"/>
    <w:rsid w:val="004471A9"/>
    <w:rsid w:val="00454545"/>
    <w:rsid w:val="004612C9"/>
    <w:rsid w:val="00461EC9"/>
    <w:rsid w:val="00471656"/>
    <w:rsid w:val="00474CC4"/>
    <w:rsid w:val="00474FB3"/>
    <w:rsid w:val="004750E3"/>
    <w:rsid w:val="00485500"/>
    <w:rsid w:val="004A1818"/>
    <w:rsid w:val="004A4C9D"/>
    <w:rsid w:val="004A5D0C"/>
    <w:rsid w:val="004A6C65"/>
    <w:rsid w:val="004A7A31"/>
    <w:rsid w:val="004B01B7"/>
    <w:rsid w:val="004C15F3"/>
    <w:rsid w:val="004C6A9A"/>
    <w:rsid w:val="004E2226"/>
    <w:rsid w:val="004F2DA3"/>
    <w:rsid w:val="004F3C7A"/>
    <w:rsid w:val="004F7D71"/>
    <w:rsid w:val="00505D6F"/>
    <w:rsid w:val="00517C4C"/>
    <w:rsid w:val="005225E2"/>
    <w:rsid w:val="00523754"/>
    <w:rsid w:val="005277DB"/>
    <w:rsid w:val="005313C0"/>
    <w:rsid w:val="00532B50"/>
    <w:rsid w:val="005401CD"/>
    <w:rsid w:val="00543BFA"/>
    <w:rsid w:val="00544784"/>
    <w:rsid w:val="00546380"/>
    <w:rsid w:val="005475CC"/>
    <w:rsid w:val="00556288"/>
    <w:rsid w:val="00560BA8"/>
    <w:rsid w:val="00561FA3"/>
    <w:rsid w:val="005816C3"/>
    <w:rsid w:val="0058170F"/>
    <w:rsid w:val="005907A1"/>
    <w:rsid w:val="00594EA7"/>
    <w:rsid w:val="005A0BDA"/>
    <w:rsid w:val="005A5D0E"/>
    <w:rsid w:val="005B176E"/>
    <w:rsid w:val="005B25E9"/>
    <w:rsid w:val="005B4604"/>
    <w:rsid w:val="005B462F"/>
    <w:rsid w:val="005B6AD9"/>
    <w:rsid w:val="005B7780"/>
    <w:rsid w:val="005C1C2F"/>
    <w:rsid w:val="005C6366"/>
    <w:rsid w:val="005E08F2"/>
    <w:rsid w:val="005E29BA"/>
    <w:rsid w:val="005E2D61"/>
    <w:rsid w:val="005E5F7D"/>
    <w:rsid w:val="005F0D2E"/>
    <w:rsid w:val="005F1F35"/>
    <w:rsid w:val="005F45AB"/>
    <w:rsid w:val="005F63B2"/>
    <w:rsid w:val="005F7940"/>
    <w:rsid w:val="005F7A2A"/>
    <w:rsid w:val="0060399B"/>
    <w:rsid w:val="00606D04"/>
    <w:rsid w:val="00610E65"/>
    <w:rsid w:val="00621998"/>
    <w:rsid w:val="00623411"/>
    <w:rsid w:val="00632997"/>
    <w:rsid w:val="00640972"/>
    <w:rsid w:val="00641A65"/>
    <w:rsid w:val="00645716"/>
    <w:rsid w:val="006457E1"/>
    <w:rsid w:val="00653F71"/>
    <w:rsid w:val="006760ED"/>
    <w:rsid w:val="00684618"/>
    <w:rsid w:val="00687A46"/>
    <w:rsid w:val="00692E0C"/>
    <w:rsid w:val="006A0687"/>
    <w:rsid w:val="006A2D5F"/>
    <w:rsid w:val="006A4F0D"/>
    <w:rsid w:val="006A699B"/>
    <w:rsid w:val="006C444C"/>
    <w:rsid w:val="006D49B6"/>
    <w:rsid w:val="006E5EEE"/>
    <w:rsid w:val="006F0226"/>
    <w:rsid w:val="006F4F01"/>
    <w:rsid w:val="007009DA"/>
    <w:rsid w:val="007018A2"/>
    <w:rsid w:val="00704E48"/>
    <w:rsid w:val="00713C73"/>
    <w:rsid w:val="00715861"/>
    <w:rsid w:val="0071684F"/>
    <w:rsid w:val="00716BD8"/>
    <w:rsid w:val="007208EC"/>
    <w:rsid w:val="00721311"/>
    <w:rsid w:val="007249CC"/>
    <w:rsid w:val="00727ABB"/>
    <w:rsid w:val="007325A8"/>
    <w:rsid w:val="00733B64"/>
    <w:rsid w:val="00737184"/>
    <w:rsid w:val="007443BA"/>
    <w:rsid w:val="00750134"/>
    <w:rsid w:val="007530F6"/>
    <w:rsid w:val="0075522E"/>
    <w:rsid w:val="00772D9C"/>
    <w:rsid w:val="007734EA"/>
    <w:rsid w:val="00775844"/>
    <w:rsid w:val="007768A6"/>
    <w:rsid w:val="00776E0C"/>
    <w:rsid w:val="00780551"/>
    <w:rsid w:val="007852F2"/>
    <w:rsid w:val="00785CCA"/>
    <w:rsid w:val="007A1934"/>
    <w:rsid w:val="007A34B2"/>
    <w:rsid w:val="007A3A1F"/>
    <w:rsid w:val="007A5D2E"/>
    <w:rsid w:val="007B51CA"/>
    <w:rsid w:val="007D360D"/>
    <w:rsid w:val="007E116D"/>
    <w:rsid w:val="007E227F"/>
    <w:rsid w:val="007E50C1"/>
    <w:rsid w:val="008030F4"/>
    <w:rsid w:val="0080330D"/>
    <w:rsid w:val="008103B1"/>
    <w:rsid w:val="00810704"/>
    <w:rsid w:val="00812450"/>
    <w:rsid w:val="00813EF6"/>
    <w:rsid w:val="008148CF"/>
    <w:rsid w:val="008214AD"/>
    <w:rsid w:val="00827A58"/>
    <w:rsid w:val="0083030D"/>
    <w:rsid w:val="00830A47"/>
    <w:rsid w:val="00843AA1"/>
    <w:rsid w:val="00847213"/>
    <w:rsid w:val="00857041"/>
    <w:rsid w:val="00861637"/>
    <w:rsid w:val="008659DD"/>
    <w:rsid w:val="008703CC"/>
    <w:rsid w:val="00870B5A"/>
    <w:rsid w:val="00875DFD"/>
    <w:rsid w:val="0088043B"/>
    <w:rsid w:val="00882C2A"/>
    <w:rsid w:val="00883C62"/>
    <w:rsid w:val="008873A9"/>
    <w:rsid w:val="008A503F"/>
    <w:rsid w:val="008B2AB2"/>
    <w:rsid w:val="008B38E7"/>
    <w:rsid w:val="008C581E"/>
    <w:rsid w:val="008D2838"/>
    <w:rsid w:val="008D4BE2"/>
    <w:rsid w:val="008F311A"/>
    <w:rsid w:val="00903804"/>
    <w:rsid w:val="009100FD"/>
    <w:rsid w:val="00915AEC"/>
    <w:rsid w:val="00915AFC"/>
    <w:rsid w:val="00922491"/>
    <w:rsid w:val="00923182"/>
    <w:rsid w:val="009238AF"/>
    <w:rsid w:val="009244D2"/>
    <w:rsid w:val="00931C99"/>
    <w:rsid w:val="00956C55"/>
    <w:rsid w:val="009601D5"/>
    <w:rsid w:val="00963D51"/>
    <w:rsid w:val="009665F8"/>
    <w:rsid w:val="00973AF4"/>
    <w:rsid w:val="0097595C"/>
    <w:rsid w:val="00982A82"/>
    <w:rsid w:val="00984F60"/>
    <w:rsid w:val="00991F17"/>
    <w:rsid w:val="00992AC0"/>
    <w:rsid w:val="009B599F"/>
    <w:rsid w:val="009B7537"/>
    <w:rsid w:val="009D0E61"/>
    <w:rsid w:val="009D39E4"/>
    <w:rsid w:val="009E0BB2"/>
    <w:rsid w:val="009E13EA"/>
    <w:rsid w:val="009E267A"/>
    <w:rsid w:val="009F19C8"/>
    <w:rsid w:val="009F4CFB"/>
    <w:rsid w:val="009F5D5C"/>
    <w:rsid w:val="009F711C"/>
    <w:rsid w:val="009F763A"/>
    <w:rsid w:val="00A00DC7"/>
    <w:rsid w:val="00A1419A"/>
    <w:rsid w:val="00A14AED"/>
    <w:rsid w:val="00A14F57"/>
    <w:rsid w:val="00A36194"/>
    <w:rsid w:val="00A3678A"/>
    <w:rsid w:val="00A37305"/>
    <w:rsid w:val="00A40B76"/>
    <w:rsid w:val="00A42474"/>
    <w:rsid w:val="00A53733"/>
    <w:rsid w:val="00A71B9D"/>
    <w:rsid w:val="00A76D7C"/>
    <w:rsid w:val="00A8187E"/>
    <w:rsid w:val="00A85B93"/>
    <w:rsid w:val="00A8616C"/>
    <w:rsid w:val="00AA5E08"/>
    <w:rsid w:val="00AA6EEA"/>
    <w:rsid w:val="00AB10CD"/>
    <w:rsid w:val="00AB30E1"/>
    <w:rsid w:val="00AC5E54"/>
    <w:rsid w:val="00AD7D76"/>
    <w:rsid w:val="00AE7D60"/>
    <w:rsid w:val="00AF26B1"/>
    <w:rsid w:val="00AF7629"/>
    <w:rsid w:val="00B01DD2"/>
    <w:rsid w:val="00B0769A"/>
    <w:rsid w:val="00B10BD4"/>
    <w:rsid w:val="00B14CA2"/>
    <w:rsid w:val="00B16E69"/>
    <w:rsid w:val="00B21B01"/>
    <w:rsid w:val="00B22D0C"/>
    <w:rsid w:val="00B231F2"/>
    <w:rsid w:val="00B23DA8"/>
    <w:rsid w:val="00B27B95"/>
    <w:rsid w:val="00B350FB"/>
    <w:rsid w:val="00B40633"/>
    <w:rsid w:val="00B408AD"/>
    <w:rsid w:val="00B41BB6"/>
    <w:rsid w:val="00B44453"/>
    <w:rsid w:val="00B465F1"/>
    <w:rsid w:val="00B60F64"/>
    <w:rsid w:val="00B6342F"/>
    <w:rsid w:val="00B73822"/>
    <w:rsid w:val="00B74116"/>
    <w:rsid w:val="00B7741A"/>
    <w:rsid w:val="00B80ACD"/>
    <w:rsid w:val="00B836D2"/>
    <w:rsid w:val="00B93AFC"/>
    <w:rsid w:val="00B9582D"/>
    <w:rsid w:val="00BA4FA5"/>
    <w:rsid w:val="00BB6FE1"/>
    <w:rsid w:val="00BC06D2"/>
    <w:rsid w:val="00BC3327"/>
    <w:rsid w:val="00BC4090"/>
    <w:rsid w:val="00BD1094"/>
    <w:rsid w:val="00BD6A33"/>
    <w:rsid w:val="00BE12AF"/>
    <w:rsid w:val="00BE5661"/>
    <w:rsid w:val="00BE608C"/>
    <w:rsid w:val="00BF2BB7"/>
    <w:rsid w:val="00BF37BA"/>
    <w:rsid w:val="00BF4339"/>
    <w:rsid w:val="00BF7C24"/>
    <w:rsid w:val="00C04A71"/>
    <w:rsid w:val="00C0782B"/>
    <w:rsid w:val="00C07F09"/>
    <w:rsid w:val="00C10B7E"/>
    <w:rsid w:val="00C12E84"/>
    <w:rsid w:val="00C17553"/>
    <w:rsid w:val="00C21BD8"/>
    <w:rsid w:val="00C25CA6"/>
    <w:rsid w:val="00C26016"/>
    <w:rsid w:val="00C34D21"/>
    <w:rsid w:val="00C43617"/>
    <w:rsid w:val="00C4464A"/>
    <w:rsid w:val="00C476EC"/>
    <w:rsid w:val="00C52B4A"/>
    <w:rsid w:val="00C54435"/>
    <w:rsid w:val="00C57036"/>
    <w:rsid w:val="00C72F14"/>
    <w:rsid w:val="00C7514A"/>
    <w:rsid w:val="00C77162"/>
    <w:rsid w:val="00C8536C"/>
    <w:rsid w:val="00C86FEF"/>
    <w:rsid w:val="00C925C6"/>
    <w:rsid w:val="00CB156A"/>
    <w:rsid w:val="00CB36CA"/>
    <w:rsid w:val="00CB3C6F"/>
    <w:rsid w:val="00CB7D4F"/>
    <w:rsid w:val="00CC1AFB"/>
    <w:rsid w:val="00CC337C"/>
    <w:rsid w:val="00CC6C49"/>
    <w:rsid w:val="00CC6E62"/>
    <w:rsid w:val="00CC77A7"/>
    <w:rsid w:val="00CD4672"/>
    <w:rsid w:val="00CD63C5"/>
    <w:rsid w:val="00CE333F"/>
    <w:rsid w:val="00D041E5"/>
    <w:rsid w:val="00D14965"/>
    <w:rsid w:val="00D20E11"/>
    <w:rsid w:val="00D24FE9"/>
    <w:rsid w:val="00D33160"/>
    <w:rsid w:val="00D43AB6"/>
    <w:rsid w:val="00D4572B"/>
    <w:rsid w:val="00D6286C"/>
    <w:rsid w:val="00D642EE"/>
    <w:rsid w:val="00D73C6C"/>
    <w:rsid w:val="00D7657D"/>
    <w:rsid w:val="00D805BD"/>
    <w:rsid w:val="00D8148E"/>
    <w:rsid w:val="00D85A3C"/>
    <w:rsid w:val="00D94512"/>
    <w:rsid w:val="00DA65E3"/>
    <w:rsid w:val="00DB0A54"/>
    <w:rsid w:val="00DB0F1E"/>
    <w:rsid w:val="00DC188B"/>
    <w:rsid w:val="00DD0A50"/>
    <w:rsid w:val="00DD5700"/>
    <w:rsid w:val="00DD7AB0"/>
    <w:rsid w:val="00DE6A31"/>
    <w:rsid w:val="00E04484"/>
    <w:rsid w:val="00E05638"/>
    <w:rsid w:val="00E11DC0"/>
    <w:rsid w:val="00E13A3F"/>
    <w:rsid w:val="00E1434E"/>
    <w:rsid w:val="00E20B32"/>
    <w:rsid w:val="00E2772B"/>
    <w:rsid w:val="00E3093B"/>
    <w:rsid w:val="00E311B2"/>
    <w:rsid w:val="00E33532"/>
    <w:rsid w:val="00E34D06"/>
    <w:rsid w:val="00E35B59"/>
    <w:rsid w:val="00E4747C"/>
    <w:rsid w:val="00E53FA7"/>
    <w:rsid w:val="00E547EB"/>
    <w:rsid w:val="00E54A6B"/>
    <w:rsid w:val="00E57F1D"/>
    <w:rsid w:val="00E61A02"/>
    <w:rsid w:val="00E61F85"/>
    <w:rsid w:val="00E66A73"/>
    <w:rsid w:val="00E66DFF"/>
    <w:rsid w:val="00E70676"/>
    <w:rsid w:val="00E75A41"/>
    <w:rsid w:val="00E90568"/>
    <w:rsid w:val="00E94093"/>
    <w:rsid w:val="00EA0FA1"/>
    <w:rsid w:val="00EB0467"/>
    <w:rsid w:val="00EB3B0D"/>
    <w:rsid w:val="00EB4BE6"/>
    <w:rsid w:val="00EC3D18"/>
    <w:rsid w:val="00EF2CD6"/>
    <w:rsid w:val="00EF54A8"/>
    <w:rsid w:val="00EF59F8"/>
    <w:rsid w:val="00EF696F"/>
    <w:rsid w:val="00F02A6F"/>
    <w:rsid w:val="00F07AE9"/>
    <w:rsid w:val="00F24D19"/>
    <w:rsid w:val="00F30404"/>
    <w:rsid w:val="00F35CE0"/>
    <w:rsid w:val="00F40CD8"/>
    <w:rsid w:val="00F44235"/>
    <w:rsid w:val="00F47AAC"/>
    <w:rsid w:val="00F54353"/>
    <w:rsid w:val="00F655FF"/>
    <w:rsid w:val="00F66509"/>
    <w:rsid w:val="00F66726"/>
    <w:rsid w:val="00F671E7"/>
    <w:rsid w:val="00F7685F"/>
    <w:rsid w:val="00F76E0C"/>
    <w:rsid w:val="00F8502E"/>
    <w:rsid w:val="00F8723C"/>
    <w:rsid w:val="00F872DE"/>
    <w:rsid w:val="00F877DF"/>
    <w:rsid w:val="00F91B69"/>
    <w:rsid w:val="00FA2584"/>
    <w:rsid w:val="00FB3004"/>
    <w:rsid w:val="00FD070E"/>
    <w:rsid w:val="00FD2061"/>
    <w:rsid w:val="00FD42BE"/>
    <w:rsid w:val="00FE48B9"/>
    <w:rsid w:val="00FF28D2"/>
    <w:rsid w:val="00FF4631"/>
    <w:rsid w:val="00FF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E3"/>
    <w:pPr>
      <w:suppressAutoHyphens/>
      <w:jc w:val="left"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77DF"/>
    <w:pPr>
      <w:keepNext/>
      <w:suppressAutoHyphens w:val="0"/>
      <w:jc w:val="center"/>
      <w:outlineLvl w:val="0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6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750E3"/>
    <w:pPr>
      <w:suppressAutoHyphens w:val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0E3"/>
    <w:rPr>
      <w:rFonts w:ascii="Courier New" w:eastAsia="Times New Roman" w:hAnsi="Courier New"/>
      <w:sz w:val="20"/>
      <w:lang w:eastAsia="ru-RU"/>
    </w:rPr>
  </w:style>
  <w:style w:type="paragraph" w:customStyle="1" w:styleId="11">
    <w:name w:val="Текст1"/>
    <w:basedOn w:val="a"/>
    <w:rsid w:val="004750E3"/>
    <w:rPr>
      <w:rFonts w:ascii="Courier New" w:eastAsia="Times New Roman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5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E3"/>
    <w:rPr>
      <w:rFonts w:ascii="Tahoma" w:eastAsia="SimSu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5401CD"/>
    <w:pPr>
      <w:suppressAutoHyphens w:val="0"/>
      <w:ind w:firstLine="708"/>
    </w:pPr>
    <w:rPr>
      <w:rFonts w:eastAsia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01CD"/>
    <w:rPr>
      <w:rFonts w:eastAsia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877DF"/>
    <w:rPr>
      <w:rFonts w:eastAsia="Times New Roman"/>
      <w:szCs w:val="24"/>
      <w:lang w:eastAsia="ru-RU"/>
    </w:rPr>
  </w:style>
  <w:style w:type="paragraph" w:customStyle="1" w:styleId="ConsNormal">
    <w:name w:val="ConsNormal"/>
    <w:rsid w:val="00F872D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9">
    <w:name w:val="List Paragraph"/>
    <w:basedOn w:val="a"/>
    <w:uiPriority w:val="34"/>
    <w:qFormat/>
    <w:rsid w:val="009E267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66A73"/>
    <w:pPr>
      <w:suppressAutoHyphens w:val="0"/>
      <w:spacing w:before="100" w:beforeAutospacing="1" w:after="150"/>
    </w:pPr>
    <w:rPr>
      <w:rFonts w:eastAsia="Times New Roman"/>
      <w:lang w:eastAsia="ru-RU"/>
    </w:rPr>
  </w:style>
  <w:style w:type="paragraph" w:styleId="ab">
    <w:name w:val="caption"/>
    <w:basedOn w:val="a"/>
    <w:qFormat/>
    <w:rsid w:val="00440558"/>
    <w:pPr>
      <w:suppressAutoHyphens w:val="0"/>
      <w:jc w:val="center"/>
    </w:pPr>
    <w:rPr>
      <w:rFonts w:eastAsia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94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4512"/>
    <w:rPr>
      <w:rFonts w:eastAsia="SimSu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94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4512"/>
    <w:rPr>
      <w:rFonts w:eastAsia="SimSu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76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0">
    <w:name w:val="No Spacing"/>
    <w:uiPriority w:val="1"/>
    <w:qFormat/>
    <w:rsid w:val="00F76E0C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6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202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31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665C-186E-47E2-9EA1-1843C2A9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219</cp:revision>
  <cp:lastPrinted>2019-02-14T07:44:00Z</cp:lastPrinted>
  <dcterms:created xsi:type="dcterms:W3CDTF">2012-02-10T08:03:00Z</dcterms:created>
  <dcterms:modified xsi:type="dcterms:W3CDTF">2019-10-07T12:10:00Z</dcterms:modified>
</cp:coreProperties>
</file>